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§1207. Taste testing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Taste testing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§1207. TASTE TESTING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