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Sales to persons in another state</w:t>
      </w:r>
    </w:p>
    <w:p>
      <w:pPr>
        <w:jc w:val="both"/>
        <w:spacing w:before="100" w:after="100"/>
        <w:ind w:start="360"/>
        <w:ind w:firstLine="360"/>
      </w:pPr>
      <w:r>
        <w:rPr/>
      </w:r>
      <w:r>
        <w:rPr/>
      </w:r>
      <w:r>
        <w:t xml:space="preserve">Notwithstanding any provision of this Title to the contrary, a manufacturer licensed under </w:t>
      </w:r>
      <w:r>
        <w:t>section 1355‑A</w:t>
      </w:r>
      <w:r>
        <w:t xml:space="preserve"> may sell and ship its products to a person located in another state,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§1357. Sales to persons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Sales to persons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§1357. SALES TO PERSONS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