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Invoices and reports</w:t>
      </w:r>
    </w:p>
    <w:p>
      <w:pPr>
        <w:jc w:val="both"/>
        <w:spacing w:before="100" w:after="0"/>
        <w:ind w:start="360"/>
        <w:ind w:firstLine="360"/>
      </w:pPr>
      <w:r>
        <w:rPr>
          <w:b/>
        </w:rPr>
        <w:t>1</w:t>
        <w:t xml:space="preserve">.  </w:t>
      </w:r>
      <w:r>
        <w:rPr>
          <w:b/>
        </w:rPr>
        <w:t xml:space="preserve">Furnish invoices.</w:t>
        <w:t xml:space="preserve"> </w:t>
      </w:r>
      <w:r>
        <w:t xml:space="preserve"> </w:t>
      </w:r>
      <w:r>
        <w:t xml:space="preserve">All certificate of approval holders shall promptly file with the bureau a copy of every invoice sent to wholesale licensees and the original copy of the Maine purchase order.  The invoice must include the licensee's name and the purchase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§119 (AMD).]</w:t>
      </w:r>
    </w:p>
    <w:p>
      <w:pPr>
        <w:jc w:val="both"/>
        <w:spacing w:before="100" w:after="0"/>
        <w:ind w:start="360"/>
        <w:ind w:firstLine="360"/>
      </w:pPr>
      <w:r>
        <w:rPr>
          <w:b/>
        </w:rPr>
        <w:t>2</w:t>
        <w:t xml:space="preserve">.  </w:t>
      </w:r>
      <w:r>
        <w:rPr>
          <w:b/>
        </w:rPr>
        <w:t xml:space="preserve">File monthly reports.</w:t>
        <w:t xml:space="preserve"> </w:t>
      </w:r>
      <w:r>
        <w:t xml:space="preserve"> </w:t>
      </w:r>
      <w:r>
        <w:t xml:space="preserve">All certificate of approval holders shall furnish a monthly report on or before the 15th day of each calendar month in the form prescribed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147, §1 (AMD).]</w:t>
      </w:r>
    </w:p>
    <w:p>
      <w:pPr>
        <w:jc w:val="both"/>
        <w:spacing w:before="100" w:after="100"/>
        <w:ind w:start="360"/>
        <w:ind w:firstLine="360"/>
      </w:pPr>
      <w:r>
        <w:rPr>
          <w:b/>
        </w:rPr>
        <w:t>3</w:t>
        <w:t xml:space="preserve">.  </w:t>
      </w:r>
      <w:r>
        <w:rPr>
          <w:b/>
        </w:rPr>
        <w:t xml:space="preserve">Certification that excise tax paid.</w:t>
        <w:t xml:space="preserve"> </w:t>
      </w:r>
      <w:r>
        <w:t xml:space="preserve"> </w:t>
      </w:r>
      <w:r>
        <w:t xml:space="preserve">A certificate of approval holder may not ship or cause to be transported into the State any malt liquor or wine until the bureau has certified that:</w:t>
      </w:r>
    </w:p>
    <w:p>
      <w:pPr>
        <w:jc w:val="both"/>
        <w:spacing w:before="100" w:after="0"/>
        <w:ind w:start="720"/>
      </w:pPr>
      <w:r>
        <w:rPr/>
        <w:t>A</w:t>
        <w:t xml:space="preserve">.  </w:t>
      </w:r>
      <w:r>
        <w:rPr/>
      </w:r>
      <w:r>
        <w:t xml:space="preserve">The excise tax has been paid;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wholesale licensee, to whom shipment is to be made, has filed a bond to guarantee payment of the excise tax as provided in </w:t>
      </w:r>
      <w:r>
        <w:t>section 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§229 (AMD).]</w:t>
      </w:r>
    </w:p>
    <w:p>
      <w:pPr>
        <w:jc w:val="both"/>
        <w:spacing w:before="100" w:after="0"/>
        <w:ind w:start="360"/>
        <w:ind w:firstLine="360"/>
      </w:pPr>
      <w:r>
        <w:rPr>
          <w:b/>
        </w:rPr>
        <w:t>4</w:t>
        <w:t xml:space="preserve">.  </w:t>
      </w:r>
      <w:r>
        <w:rPr>
          <w:b/>
        </w:rPr>
        <w:t xml:space="preserve">Reports of low-alcohol spirits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§230 (RP).]</w:t>
      </w:r>
    </w:p>
    <w:p>
      <w:pPr>
        <w:jc w:val="both"/>
        <w:spacing w:before="100" w:after="0"/>
        <w:ind w:start="360"/>
        <w:ind w:firstLine="360"/>
      </w:pPr>
      <w:r>
        <w:rPr>
          <w:b/>
        </w:rPr>
        <w:t>5</w:t>
        <w:t xml:space="preserve">.  </w:t>
      </w:r>
      <w:r>
        <w:rPr>
          <w:b/>
        </w:rPr>
        <w:t xml:space="preserve">Limitation on definition of "certificate of approval holder."</w:t>
        <w:t xml:space="preserve"> </w:t>
      </w:r>
      <w:r>
        <w:t xml:space="preserve"> </w:t>
      </w:r>
      <w:r>
        <w:t xml:space="preserve">Notwithstanding </w:t>
      </w:r>
      <w:r>
        <w:t>section 2, subsection 8</w:t>
      </w:r>
      <w:r>
        <w:t xml:space="preserve">, as used in this section,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§3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§VV5 (AMD). PL 1991, c. 591, §VV5 (AMD). PL 1997, c. 373, §119 (AMD). PL 2011, c. 147, §1 (AMD). PL 2019, c. 615, §3 (AMD). PL 2019, c. 615, §7 (AFF). PL 2021, c. 658, §§229, 230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§1364. Invoices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Invoices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§1364. INVOICES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