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1401-A</w:t>
        <w:t xml:space="preserve">.  </w:t>
      </w:r>
      <w:r>
        <w:rPr>
          <w:b/>
        </w:rPr>
        <w:t xml:space="preserve">Limitation on definition of "certificate of approval holder"</w:t>
      </w:r>
    </w:p>
    <w:p>
      <w:pPr>
        <w:jc w:val="both"/>
        <w:spacing w:before="100" w:after="100"/>
        <w:ind w:start="360"/>
        <w:ind w:firstLine="360"/>
      </w:pPr>
      <w:r>
        <w:rPr/>
      </w:r>
      <w:r>
        <w:rPr/>
      </w:r>
      <w:r>
        <w:t xml:space="preserve">Notwithstanding </w:t>
      </w:r>
      <w:r>
        <w:t>section 2, subsection 8</w:t>
      </w:r>
      <w:r>
        <w:t xml:space="preserve">, as used in this chapter, unless the context otherwise indicates,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§5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§5 (NEW). PL 2019, c. 615,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§1401-A. Limitation on definition of "certificate of approval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§1401-A. Limitation on definition of "certificate of approval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§1401-A. LIMITATION ON DEFINITION OF "CERTIFICATE OF APPROVAL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