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§163. B.Y.O.B. function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B.Y.O.B. function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§163. B.Y.O.B. FUNCTION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