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False statement by retail employee</w:t>
      </w:r>
    </w:p>
    <w:p>
      <w:pPr>
        <w:jc w:val="both"/>
        <w:spacing w:before="100" w:after="100"/>
        <w:ind w:start="360"/>
        <w:ind w:firstLine="360"/>
      </w:pPr>
      <w:r>
        <w:rPr/>
      </w:r>
      <w:r>
        <w:rPr/>
      </w:r>
      <w:r>
        <w:t xml:space="preserve">Notwithstanding </w:t>
      </w:r>
      <w:r>
        <w:t>Title 17‑A, section 453</w:t>
      </w:r>
      <w:r>
        <w:t xml:space="preserve">, a person who makes a false statement in the affidavit required under </w:t>
      </w:r>
      <w:r>
        <w:t>section 703‑A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526, §§25,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§§25,28 (NEW). RR 1991, c. 1,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§2085. False statement by retail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False statement by retail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§2085. FALSE STATEMENT BY RETAIL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