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Approval of alcohol server education courses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§2519. APPROVAL OF ALCOHOL SERVER EDUCATION COURSES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