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 Entrances from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Entrances from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 ENTRANCES FROM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