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2020, and annually thereafter, the department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department pursuant to this chapter during the prior calendar year, including, if applicable, the number of applications for license renewals, and the number of each type of license conditionally approved by the department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total number of each type of active license issued by the department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total square footage of plant canopy approved by the department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department and the cost to the department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department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department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J</w:t>
        <w:t xml:space="preserve">.  </w:t>
      </w:r>
      <w:r>
        <w:rPr/>
      </w:r>
      <w:r>
        <w:t xml:space="preserve">Public health and safety data collected, received or analyzed by the department pursuant to </w:t>
      </w:r>
      <w:r>
        <w:t>section 107</w:t>
      </w:r>
      <w:r>
        <w:t xml:space="preserv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department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§113.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