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Municipal regulation of cannabis establishments generally</w:t>
      </w:r>
    </w:p>
    <w:p>
      <w:pPr>
        <w:jc w:val="both"/>
        <w:spacing w:before="100" w:after="100"/>
        <w:ind w:start="360"/>
        <w:ind w:firstLine="360"/>
      </w:pPr>
      <w:r>
        <w:rPr/>
      </w:r>
      <w:r>
        <w:rPr/>
      </w:r>
      <w:r>
        <w:t xml:space="preserve">In accordance with the applicable provisions of this subchapter and pursuant to the home rule authority granted under the Constitution of Maine, Article VIII, Part Second and </w:t>
      </w:r>
      <w:r>
        <w:t>Title 30‑A, section 3001</w:t>
      </w:r>
      <w:r>
        <w:t xml:space="preserve">, a municipality may regulate cannabis establishments within the municipality, including, but not limited to, adoption of the following types of regulations and restrictions.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Land use regulations.</w:t>
        <w:t xml:space="preserve"> </w:t>
      </w:r>
      <w:r>
        <w:t xml:space="preserve"> </w:t>
      </w:r>
      <w:r>
        <w:t xml:space="preserve">A municipality may adopt an ordinance providing land use regulations applicable to cannabis establishments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General authorization or limitation of cannabis establishments.</w:t>
        <w:t xml:space="preserve"> </w:t>
      </w:r>
      <w:r>
        <w:t xml:space="preserve"> </w:t>
      </w:r>
      <w:r>
        <w:t xml:space="preserve">A municipality may adopt an ordinance generally authorizing the operation of some or all types of cannabis establishments within the municipality.  A municipality may adopt an ordinance limiting the number of any type of cannabis establishment that may be authorized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Municipal licensing requirements.</w:t>
        <w:t xml:space="preserve"> </w:t>
      </w:r>
      <w:r>
        <w:t xml:space="preserve"> </w:t>
      </w:r>
      <w:r>
        <w:t xml:space="preserve">A municipality may adopt an ordinance providing licensing requirements applicable to cannabis establishments within the municipality, which may include, but are not limited to, provisions establishing a municipal licensing fee schedule pursuant to </w:t>
      </w:r>
      <w:r>
        <w:t>Title 30‑A, 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Notwithstanding any provision of law to the contrary, a municipal ordinance regulating cannabis establishments within the municipality adopted pursuant to this subchapter is not subject to the requirements or limitations of </w:t>
      </w:r>
      <w:r>
        <w:t>Title 7, chapter 6</w:t>
      </w:r>
      <w:r>
        <w:t xml:space="preserve"> or </w:t>
      </w:r>
      <w:r>
        <w:t>8‑F</w:t>
      </w:r>
      <w:r>
        <w:t xml:space="preserve">.  Nothing in this subchapter may be construed to require an applicant for a sample collector license or a sample collector licensee to seek local authorization prior to the issuance or renewal of an active license.</w:t>
      </w:r>
      <w:r>
        <w:t xml:space="preserve">  </w:t>
      </w:r>
      <w:r xmlns:wp="http://schemas.openxmlformats.org/drawingml/2010/wordprocessingDrawing" xmlns:w15="http://schemas.microsoft.com/office/word/2012/wordml">
        <w:rPr>
          <w:rFonts w:ascii="Arial" w:hAnsi="Arial" w:cs="Arial"/>
          <w:sz w:val="22"/>
          <w:szCs w:val="22"/>
        </w:rPr>
        <w:t xml:space="preserve">[PL 2019, c. 676, §10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§10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Municipal regulation of cannabis establishments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Municipal regulation of cannabis establishments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§401. MUNICIPAL REGULATION OF CANNABIS ESTABLISHMENTS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