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w:t>
      </w:r>
      <w:r>
        <w:t>section 602</w:t>
      </w:r>
      <w:r>
        <w:t xml:space="preserve"> and may deliver those samples to a testing facility for testing.  The department shall adopt rules regarding the collection of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department to conduct audits of adult use cannabis or adult use cannabis products that were tested using samples collected by the licensee or its employees pursuant to this section, with all costs of the audits to be paid for by the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department as constituting a major license violation affecting public safety and as a basis for imposition of a license suspension or revocation pursuant to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F</w:t>
        <w:t xml:space="preserve">.  </w:t>
      </w:r>
      <w:r>
        <w:rPr/>
      </w:r>
      <w:r>
        <w:t xml:space="preserve">Authorization for the department to suspend or revoke the licensee's license following 2 or more failed sample collecting audits conducted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669, §5 (REV).]</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§604-A. Sample collecting for mandatory testing by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Sample collecting for mandatory testing by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§604-A. SAMPLE COLLECTING FOR MANDATORY TESTING BY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