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May be manufactured in geometric shapes or in the shape of a cannabis leaf;</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Must have a universal symbol stamped or embossed on each serving of the product, except that the department may determine by rule that, for a particular type of product, such stamping or embossing is impracticable and is not required;</w:t>
      </w:r>
      <w:r>
        <w:t xml:space="preserve">  </w:t>
      </w:r>
      <w:r xmlns:wp="http://schemas.openxmlformats.org/drawingml/2010/wordprocessingDrawing" xmlns:w15="http://schemas.microsoft.com/office/word/2012/wordml">
        <w:rPr>
          <w:rFonts w:ascii="Arial" w:hAnsi="Arial" w:cs="Arial"/>
          <w:sz w:val="22"/>
          <w:szCs w:val="22"/>
        </w:rPr>
        <w:t xml:space="preserve">[PL 2019, c. 491, §5 (AMD).]</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May not contain additives that are:</w:t>
      </w:r>
    </w:p>
    <w:p>
      <w:pPr>
        <w:jc w:val="both"/>
        <w:spacing w:before="100" w:after="0"/>
        <w:ind w:start="1080"/>
      </w:pPr>
      <w:r>
        <w:rPr/>
        <w:t>(</w:t>
        <w:t>1</w:t>
        <w:t xml:space="preserve">)  </w:t>
      </w:r>
      <w:r>
        <w:rPr/>
      </w:r>
      <w:r>
        <w:t xml:space="preserve">Toxic or harmful to human beings;</w:t>
      </w:r>
    </w:p>
    <w:p>
      <w:pPr>
        <w:jc w:val="both"/>
        <w:spacing w:before="100" w:after="0"/>
        <w:ind w:start="1080"/>
      </w:pPr>
      <w:r>
        <w:rPr/>
        <w:t>(</w:t>
        <w:t>2</w:t>
        <w:t xml:space="preserve">)  </w:t>
      </w:r>
      <w:r>
        <w:rPr/>
      </w:r>
      <w:r>
        <w:t xml:space="preserve">Specifically designed to make the product more addictive or that are misleading to consumers; or</w:t>
      </w:r>
    </w:p>
    <w:p>
      <w:pPr>
        <w:jc w:val="both"/>
        <w:spacing w:before="100" w:after="0"/>
        <w:ind w:start="1080"/>
      </w:pPr>
      <w:r>
        <w:rPr/>
        <w:t>(</w:t>
        <w:t>3</w:t>
        <w:t xml:space="preserve">)  </w:t>
      </w:r>
      <w:r>
        <w:rPr/>
      </w:r>
      <w:r>
        <w:t xml:space="preserve">Specifically designed to make the product appeal particularly to a person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department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packaging and labeling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Other health and safety requirements and restrictions;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Other health and safety requirements and restrictions;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§703. OTHER HEALTH AND SAFETY REQUIREMENTS AND RESTRICTIONS;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