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following 21 members:</w:t>
      </w:r>
    </w:p>
    <w:p>
      <w:pPr>
        <w:jc w:val="both"/>
        <w:spacing w:before="100" w:after="0"/>
        <w:ind w:start="720"/>
      </w:pPr>
      <w:r>
        <w:rPr/>
        <w:t>A</w:t>
        <w:t xml:space="preserve">.  </w:t>
      </w:r>
      <w:r>
        <w:rPr/>
      </w:r>
      <w:r>
        <w:t xml:space="preserve">Two members of the Senate, including members from each of the 2 parties holding the largest number of seats in the Legislature,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Two members of the House of Representatives, including members from each of the 2 parties holding the largest number of seats in the Legislature,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363, §1 (AMD).]</w:t>
      </w:r>
    </w:p>
    <w:p>
      <w:pPr>
        <w:jc w:val="both"/>
        <w:spacing w:before="100" w:after="0"/>
        <w:ind w:start="720"/>
      </w:pPr>
      <w:r>
        <w:rPr/>
        <w:t>G</w:t>
        <w:t xml:space="preserve">.  </w:t>
      </w:r>
      <w:r>
        <w:rPr/>
      </w:r>
      <w:r>
        <w:t xml:space="preserve">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The following 6 members, appointed by the President of the Senate:</w:t>
      </w:r>
    </w:p>
    <w:p>
      <w:pPr>
        <w:jc w:val="both"/>
        <w:spacing w:before="100" w:after="0"/>
        <w:ind w:start="1080"/>
      </w:pPr>
      <w:r>
        <w:rPr/>
        <w:t>(</w:t>
        <w:t>1</w:t>
        <w:t xml:space="preserve">)  </w:t>
      </w:r>
      <w:r>
        <w:rPr/>
      </w:r>
      <w:r>
        <w:t xml:space="preserve">A representative of a statewide association representing prosecutors;</w:t>
      </w:r>
    </w:p>
    <w:p>
      <w:pPr>
        <w:jc w:val="both"/>
        <w:spacing w:before="100" w:after="0"/>
        <w:ind w:start="1080"/>
      </w:pPr>
      <w:r>
        <w:rPr/>
        <w:t>(</w:t>
        <w:t>2</w:t>
        <w:t xml:space="preserve">)  </w:t>
      </w:r>
      <w:r>
        <w:rPr/>
      </w:r>
      <w:r>
        <w:t xml:space="preserve">A representative of a statewide association representing the medical cannabis industry;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member of the public with demonstrated expertise in the cultivation of cannabis or the manufacturing of cannabis concentrate and cannabis products;</w:t>
      </w:r>
    </w:p>
    <w:p>
      <w:pPr>
        <w:jc w:val="both"/>
        <w:spacing w:before="100" w:after="0"/>
        <w:ind w:start="1080"/>
      </w:pPr>
      <w:r>
        <w:rPr/>
        <w:t>(</w:t>
        <w:t>5</w:t>
        <w:t xml:space="preserve">)  </w:t>
      </w:r>
      <w:r>
        <w:rPr/>
      </w:r>
      <w:r>
        <w:t xml:space="preserve">A representative of a statewide association representing defense attorneys; and</w:t>
      </w:r>
    </w:p>
    <w:p>
      <w:pPr>
        <w:jc w:val="both"/>
        <w:spacing w:before="100" w:after="0"/>
        <w:ind w:start="1080"/>
      </w:pPr>
      <w:r>
        <w:rPr/>
        <w:t>(</w:t>
        <w:t>6</w:t>
        <w:t xml:space="preserve">)  </w:t>
      </w:r>
      <w:r>
        <w:rPr/>
      </w:r>
      <w:r>
        <w:t xml:space="preserve">A representative of a statewide civil rights organization with a primary mission to advance racial equity and racial justice; and</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720"/>
      </w:pPr>
      <w:r>
        <w:rPr/>
        <w:t>I</w:t>
        <w:t xml:space="preserve">.  </w:t>
      </w:r>
      <w:r>
        <w:rPr/>
      </w:r>
      <w:r>
        <w:t xml:space="preserve">The following 6 members, appointed by the Speaker of the House of Representatives:</w:t>
      </w:r>
    </w:p>
    <w:p>
      <w:pPr>
        <w:jc w:val="both"/>
        <w:spacing w:before="100" w:after="0"/>
        <w:ind w:start="1080"/>
      </w:pPr>
      <w:r>
        <w:rPr/>
        <w:t>(</w:t>
        <w:t>1</w:t>
        <w:t xml:space="preserve">)  </w:t>
      </w:r>
      <w:r>
        <w:rPr/>
      </w:r>
      <w:r>
        <w:t xml:space="preserve">A representative of a statewide association representing the adult use cannabis industry;</w:t>
      </w:r>
    </w:p>
    <w:p>
      <w:pPr>
        <w:jc w:val="both"/>
        <w:spacing w:before="100" w:after="0"/>
        <w:ind w:start="1080"/>
      </w:pPr>
      <w:r>
        <w:rPr/>
        <w:t>(</w:t>
        <w:t>2</w:t>
        <w:t xml:space="preserve">)  </w:t>
      </w:r>
      <w:r>
        <w:rPr/>
      </w:r>
      <w:r>
        <w:t xml:space="preserve">A member of the public with demonstrated expertise and credentials in public health policy;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qualifying patient;</w:t>
      </w:r>
    </w:p>
    <w:p>
      <w:pPr>
        <w:jc w:val="both"/>
        <w:spacing w:before="100" w:after="0"/>
        <w:ind w:start="1080"/>
      </w:pPr>
      <w:r>
        <w:rPr/>
        <w:t>(</w:t>
        <w:t>5</w:t>
        <w:t xml:space="preserve">)  </w:t>
      </w:r>
      <w:r>
        <w:rPr/>
      </w:r>
      <w:r>
        <w:t xml:space="preserve">A member of a federally recognized Indian tribe in the State; and</w:t>
      </w:r>
    </w:p>
    <w:p>
      <w:pPr>
        <w:jc w:val="both"/>
        <w:spacing w:before="100" w:after="0"/>
        <w:ind w:start="1080"/>
      </w:pPr>
      <w:r>
        <w:rPr/>
        <w:t>(</w:t>
        <w:t>6</w:t>
        <w:t xml:space="preserve">)  </w:t>
      </w:r>
      <w:r>
        <w:rPr/>
      </w:r>
      <w:r>
        <w:t xml:space="preserve">A representative of the state chapter of a national civil liberties organization.</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360"/>
      </w:pPr>
      <w:r>
        <w:rPr/>
      </w:r>
      <w:r>
        <w:rPr/>
      </w:r>
      <w:r>
        <w:t xml:space="preserve">For all appointments under </w:t>
      </w:r>
      <w:r>
        <w:t>paragraphs A</w:t>
      </w:r>
      <w:r>
        <w:t xml:space="preserve">, </w:t>
      </w:r>
      <w:r>
        <w:t>B</w:t>
      </w:r>
      <w:r>
        <w:t xml:space="preserve">, </w:t>
      </w:r>
      <w:r>
        <w:t>H</w:t>
      </w:r>
      <w:r>
        <w:t xml:space="preserve"> and </w:t>
      </w:r>
      <w:r>
        <w:t>I</w:t>
      </w:r>
      <w:r>
        <w:t xml:space="preserve">, an effort must be made in making the appointments to represent the racial and gender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§1 (AMD); PL 2021, c. 669, §5 (REV).]</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member is the House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Terms.</w:t>
        <w:t xml:space="preserve"> </w:t>
      </w:r>
      <w:r>
        <w:t xml:space="preserve"> </w:t>
      </w:r>
      <w:r>
        <w:t xml:space="preserve">Members of the commission who are Legislators serve during the term of office for which they were elected.  Other members of the commission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Vacancies.</w:t>
        <w:t xml:space="preserve"> </w:t>
      </w:r>
      <w:r>
        <w:t xml:space="preserve"> </w:t>
      </w:r>
      <w:r>
        <w:t xml:space="preserve">In the event of a vacancy on the commission, the member's unexpired term must be filled through an appointment by the appointing authority for the vacant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11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Membership; chairs; terms; vacancies;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Membership; chairs; terms; vacancies;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§902. MEMBERSHIP; CHAIRS; TERMS; VACANCIES;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