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Organization; staffing; consultation</w:t>
      </w:r>
    </w:p>
    <w:p>
      <w:pPr>
        <w:jc w:val="both"/>
        <w:spacing w:before="100" w:after="0"/>
        <w:ind w:start="360"/>
        <w:ind w:firstLine="360"/>
      </w:pPr>
      <w:r>
        <w:rPr>
          <w:b/>
        </w:rPr>
        <w:t>1</w:t>
        <w:t xml:space="preserve">.  </w:t>
      </w:r>
      <w:r>
        <w:rPr>
          <w:b/>
        </w:rPr>
        <w:t xml:space="preserve">Organization; staffing.</w:t>
        <w:t xml:space="preserve"> </w:t>
      </w:r>
      <w:r>
        <w:t xml:space="preserve"> </w:t>
      </w:r>
      <w:r>
        <w:t xml:space="preserve">The Legislative Council shall provide staffing services to the commission, except that Legislative Council staff support is not authorized when the Legislature is in regular or special session.  The Executive Director of the Legislative Council shall notify all members of the commission of the time and place of the first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Consultation.</w:t>
        <w:t xml:space="preserve"> </w:t>
      </w:r>
      <w:r>
        <w:t xml:space="preserve"> </w:t>
      </w:r>
      <w:r>
        <w:t xml:space="preserve">Whenever the commission considers it appropriate, it may seek the advice of consultants or experts, including representatives of the legislative and executive branches of State Government,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Organization; staffing;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Organization; staffing;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§904. ORGANIZATION; STAFFING;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