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§22 (RPR). PL 2003, c. 434, §37 (AFF). PL 2007, c. 329, Pt. R, §1 (AMD). PL 2007, c. 648, §2 (AMD). PL 2011, c. 356, §19 (AMD). PL 2013, c. 51, §§3-5 (AMD). PL 2013, c. 381, Pt. B,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§1406.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§1406.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