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Telematics system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§1811. TELEMATICS SYSTEM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