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§1853. Letter of ownership or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Letter of ownership or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§1853. LETTER OF OWNERSHIP OR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