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§1905-B. Brake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§1905-B. Brake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§1905-B. BRAKE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