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§2086. Riding in trunk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Riding in trunk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§2086. RIDING IN TRUNK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