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2354-B</w:t>
        <w:t xml:space="preserve">.  </w:t>
      </w:r>
      <w:r>
        <w:rPr>
          <w:b/>
        </w:rPr>
        <w:t xml:space="preserve">Pilot project to allow commercial vehicles at Canadian weight limits to travel from the Canadian border at Calais to Baileyville and from the Canadian border at Van Buren to a rail yard in Van Buren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421, §1 (NEW). PL 2005, c. 421, §2 (AFF). PL 2005, c. 664, §L1 (AMD). PL 2009, c. 326, §1 (AMD). MRSA T. 29-A §2354-B,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§2354-B. Pilot project to allow commercial vehicles at Canadian weight limits to travel from the Canadian border at Calais to Baileyville and from the Canadian border at Van Buren to a rail yard in Van Buren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§2354-B. Pilot project to allow commercial vehicles at Canadian weight limits to travel from the Canadian border at Calais to Baileyville and from the Canadian border at Van Buren to a rail yard in Van Buren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§2354-B. PILOT PROJECT TO ALLOW COMMERCIAL VEHICLES AT CANADIAN WEIGHT LIMITS TO TRAVEL FROM THE CANADIAN BORDER AT CALAIS TO BAILEYVILLE AND FROM THE CANADIAN BORDER AT VAN BUREN TO A RAIL YARD IN VAN BUREN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