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§2356. Operation of a vehicle exceeding registered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Operation of a vehicle exceeding registered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§2356. OPERATION OF A VEHICLE EXCEEDING REGISTERED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