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Prima facie evidence</w:t>
      </w:r>
    </w:p>
    <w:p>
      <w:pPr>
        <w:jc w:val="both"/>
        <w:spacing w:before="100" w:after="100"/>
        <w:ind w:start="360"/>
        <w:ind w:firstLine="360"/>
      </w:pPr>
      <w:r>
        <w:rPr/>
      </w:r>
      <w:r>
        <w:rPr/>
      </w:r>
      <w:r>
        <w:t xml:space="preserve">For the purposes of this Title, weights as indicated by a stationary or portable scale approved by the Department of Transportation and tested within 12 calendar months prior to the time of use by a person and method approved by the Department of Transportation are considered accurate.</w:t>
      </w:r>
      <w:r>
        <w:t xml:space="preserve">  </w:t>
      </w:r>
      <w:r xmlns:wp="http://schemas.openxmlformats.org/drawingml/2010/wordprocessingDrawing" xmlns:w15="http://schemas.microsoft.com/office/word/2012/wordml">
        <w:rPr>
          <w:rFonts w:ascii="Arial" w:hAnsi="Arial" w:cs="Arial"/>
          <w:sz w:val="22"/>
          <w:szCs w:val="22"/>
        </w:rPr>
        <w:t xml:space="preserve">[PL 2013, c. 588,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§2359. Prima facie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Prima facie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§2359. PRIMA FACIE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