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2361-A</w:t>
        <w:t xml:space="preserve">.  </w:t>
      </w:r>
      <w:r>
        <w:rPr>
          <w:b/>
        </w:rPr>
        <w:t xml:space="preserve">Aggravated gross weight violations</w:t>
      </w:r>
    </w:p>
    <w:p>
      <w:pPr>
        <w:jc w:val="both"/>
        <w:spacing w:before="100" w:after="100"/>
        <w:ind w:start="360"/>
        <w:ind w:firstLine="360"/>
      </w:pPr>
      <w:r>
        <w:rPr/>
      </w:r>
      <w:r>
        <w:rPr/>
      </w:r>
      <w:r>
        <w:t xml:space="preserve">The operation of a vehicle exceeding the maximum allowable gross vehicle weight by 20% or more is an aggravated gross weight violation.  The penalty for an aggravated gross weight violation is the fine established in </w:t>
      </w:r>
      <w:r>
        <w:t>section 2360,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267, §10 (NEW); PL 2001, c. 267,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§10 (NEW). PL 2001, c. 267,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§2361-A. Aggravated gross weight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§2361-A. Aggravated gross weight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§2361-A. AGGRAVATED GROSS WEIGHT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