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2397</w:t>
        <w:t xml:space="preserve">.  </w:t>
      </w:r>
      <w:r>
        <w:rPr>
          <w:b/>
        </w:rPr>
        <w:t xml:space="preserve">Menacing or damaging vehicles</w:t>
      </w:r>
    </w:p>
    <w:p>
      <w:pPr>
        <w:jc w:val="both"/>
        <w:spacing w:before="100" w:after="100"/>
        <w:ind w:start="360"/>
        <w:ind w:firstLine="360"/>
      </w:pPr>
      <w:r>
        <w:rPr/>
      </w:r>
      <w:r>
        <w:rPr/>
      </w:r>
      <w:r>
        <w:t xml:space="preserve">The Secretary of State may revoke or suspend the certificate of registration of a vehicle that is: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Menace.</w:t>
        <w:t xml:space="preserve"> </w:t>
      </w:r>
      <w:r>
        <w:t xml:space="preserve"> </w:t>
      </w:r>
      <w:r>
        <w:t xml:space="preserve">So constructed that when in operation the vehicle is a menace to the safety of its occupants or to the public;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Damage.</w:t>
        <w:t xml:space="preserve"> </w:t>
      </w:r>
      <w:r>
        <w:t xml:space="preserve"> </w:t>
      </w:r>
      <w:r>
        <w:t xml:space="preserve">So constructed or operated as to cause unreasonable damage to public ways or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§2397. Menacing or damaging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§2397. Menacing or damaging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§2397. MENACING OR DAMAGING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