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§251. Records and databases related to driver's licenses and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Records and databases related to driver's licenses and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§251. RECORDS AND DATABASES RELATED TO DRIVER'S LICENSES AND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