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§406. NONTRANSFERABILITY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