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Evasion of registration fees and excise taxes</w:t>
      </w:r>
    </w:p>
    <w:p>
      <w:pPr>
        <w:jc w:val="both"/>
        <w:spacing w:before="100" w:after="100"/>
        <w:ind w:start="360"/>
        <w:ind w:firstLine="360"/>
      </w:pPr>
      <w:r>
        <w:rPr/>
      </w:r>
      <w:r>
        <w:rPr/>
      </w:r>
      <w:r>
        <w:t xml:space="preserve">A person required to register a vehicle in this State who instead registers the vehicle in another state or province or who fails to register a vehicle in this State is guilty of evasion of registration fees and excise taxes.  Violation of this section is a traffic infraction punishable by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1999, c. 611, §1 (AMD).]</w:t>
      </w:r>
    </w:p>
    <w:p>
      <w:pPr>
        <w:jc w:val="both"/>
        <w:spacing w:before="100" w:after="100"/>
        <w:ind w:start="360"/>
        <w:ind w:firstLine="360"/>
      </w:pPr>
      <w:r>
        <w:rPr/>
      </w:r>
      <w:r>
        <w:rPr/>
      </w:r>
      <w:r>
        <w:t xml:space="preserve">The Secretary of State shall notify the State Tax Assessor upon receipt of the court abstract so that the State Tax Assessor may determine whether further investigation is necessary.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For purposes of this section, a person is presumed to be a resident of the State if that person has:</w:t>
      </w:r>
      <w:r>
        <w:t xml:space="preserve">  </w:t>
      </w:r>
      <w:r xmlns:wp="http://schemas.openxmlformats.org/drawingml/2010/wordprocessingDrawing" xmlns:w15="http://schemas.microsoft.com/office/word/2012/wordml">
        <w:rPr>
          <w:rFonts w:ascii="Arial" w:hAnsi="Arial" w:cs="Arial"/>
          <w:sz w:val="22"/>
          <w:szCs w:val="22"/>
        </w:rPr>
        <w:t xml:space="preserve">[PL 1999, c. 611, §1 (NEW).]</w:t>
      </w:r>
    </w:p>
    <w:p>
      <w:pPr>
        <w:jc w:val="both"/>
        <w:spacing w:before="100" w:after="0"/>
        <w:ind w:start="360"/>
        <w:ind w:firstLine="360"/>
      </w:pPr>
      <w:r>
        <w:rPr>
          <w:b/>
        </w:rPr>
        <w:t>1</w:t>
        <w:t xml:space="preserve">.  </w:t>
      </w:r>
      <w:r>
        <w:rPr>
          <w:b/>
        </w:rPr>
        <w:t xml:space="preserve">Enrolled child in public school.</w:t>
        <w:t xml:space="preserve"> </w:t>
      </w:r>
      <w:r>
        <w:t xml:space="preserve"> </w:t>
      </w:r>
      <w:r>
        <w:t xml:space="preserve">Enrolled a minor child of whom that person has sole or primary custody in a public school within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w:pPr>
        <w:jc w:val="both"/>
        <w:spacing w:before="100" w:after="100"/>
        <w:ind w:start="360"/>
        <w:ind w:firstLine="360"/>
      </w:pPr>
      <w:r>
        <w:rPr>
          <w:b/>
        </w:rPr>
        <w:t>2</w:t>
        <w:t xml:space="preserve">.  </w:t>
      </w:r>
      <w:r>
        <w:rPr>
          <w:b/>
        </w:rPr>
        <w:t xml:space="preserve">Declared or indicated primary residence in State.</w:t>
        <w:t xml:space="preserve"> </w:t>
      </w:r>
      <w:r>
        <w:t xml:space="preserve"> </w:t>
      </w:r>
      <w:r>
        <w:t xml:space="preserve">Declared, indicated or stated that that person's primary residence is in the State on any form, document or application used by public and private entities or persons.</w:t>
      </w:r>
    </w:p>
    <w:p>
      <w:pPr>
        <w:jc w:val="both"/>
        <w:spacing w:before="100" w:after="0"/>
        <w:ind w:start="360"/>
      </w:pPr>
      <w:r>
        <w:rPr/>
      </w:r>
      <w:r>
        <w:rPr/>
      </w:r>
      <w:r>
        <w:t xml:space="preserve">An oral statement by a person stating a Maine address as that person's primary residence is prima facie evidence of primary residence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§3 (AMD). PL 1997, c. 252, §1 (AMD). PL 1997, c. 776, §17 (AMD). PL 1999, c. 611,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§514. Evasion of registration fees and excise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Evasion of registration fees and excise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§514. EVASION OF REGISTRATION FEES AND EXCISE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