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jc w:val="both"/>
        <w:spacing w:before="100" w:after="100"/>
        <w:ind w:start="1080" w:hanging="720"/>
      </w:pPr>
      <w:r>
        <w:rPr>
          <w:b/>
        </w:rPr>
        <w:t>§</w:t>
        <w:t>602</w:t>
        <w:t xml:space="preserve">.  </w:t>
      </w:r>
      <w:r>
        <w:rPr>
          <w:b/>
        </w:rPr>
        <w:t xml:space="preserve">Designees; notification to Secretary of State</w:t>
      </w:r>
    </w:p>
    <w:p>
      <w:pPr>
        <w:jc w:val="both"/>
        <w:spacing w:before="100" w:after="100"/>
        <w:ind w:start="360"/>
        <w:ind w:firstLine="360"/>
      </w:pPr>
      <w:r>
        <w:rPr/>
      </w:r>
      <w:r>
        <w:rPr/>
      </w:r>
      <w:r>
        <w:t xml:space="preserve">The Chief of the Penobscot Nation and the Chief of the Houlton Band of Maliseet Indians may each designate, and the Chief of the Passamaquoddy Tribe at Sipayik and the Chief of the Passamaquoddy Tribe at Motahkomikuk may jointly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The designation, if any, must be in writing and filed with the Secretary of State.  The Secretary of State shall transmit certified copies of each designation to the Secretary of the Senate, the Clerk of the House of Representatives and the Revisor of Statutes.  A designation remains in effect until the Chief of the Penobscot Nation or the Chief of the Houlton Band of Maliseet Indians rescinds the designation or makes a new designation or until the Chief of the Passamaquoddy Tribe at Sipayik and the Chief of the Passamaquoddy Tribe at Motahkomikuk jointly rescind the designation or jointly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PL 2023, c. 620, Pt. A, §2 (RPR). </w:t>
      </w:r>
    </w:p>
    <w:p>
      <w:pPr>
        <w:jc w:val="both"/>
        <w:spacing w:before="100" w:after="100"/>
        <w:ind w:start="1080" w:hanging="720"/>
      </w:pPr>
      <w:r>
        <w:rPr>
          <w:b/>
        </w:rPr>
        <w:t>§</w:t>
        <w:t>603</w:t>
        <w:t xml:space="preserve">.  </w:t>
      </w:r>
      <w:r>
        <w:rPr>
          <w:b/>
        </w:rPr>
        <w:t xml:space="preserve">Mi'kmaq Nation designee; notification to Secretary of State</w:t>
      </w:r>
    </w:p>
    <w:p>
      <w:pPr>
        <w:jc w:val="both"/>
        <w:spacing w:before="100" w:after="100"/>
        <w:ind w:start="360"/>
        <w:ind w:firstLine="360"/>
      </w:pPr>
      <w:r>
        <w:rPr/>
      </w:r>
      <w:r>
        <w:rPr/>
      </w:r>
      <w:r>
        <w:t xml:space="preserve">The Chief of the Mi'kmaq Nation may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A designation, if any, must be in writing and filed with the Secretary of State.  The Secretary of State shall transmit certified copies of the designation to the Secretary of the Senate, the Clerk of the House of Representatives and the Revisor of Statutes.  The designation remains in effect until the Chief of the Mi'kmaq Nation rescinds the designation or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PL 2023, c. 620,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27. APPROVAL OF AMENDMENTS TO THE MAINE INDIAN CLAIMS SETTLEMENT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