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STATE HOUSE AND CAPITOL PARK COMMISSION</w:t>
      </w:r>
    </w:p>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w:t>
      </w:r>
    </w:p>
    <w:p>
      <w:pPr>
        <w:jc w:val="both"/>
        <w:spacing w:before="100" w:after="100"/>
        <w:ind w:start="1080" w:hanging="720"/>
      </w:pPr>
      <w:r>
        <w:rPr>
          <w:b/>
        </w:rPr>
        <w:t>§</w:t>
        <w:t>902-A</w:t>
        <w:t xml:space="preserve">.  </w:t>
      </w:r>
      <w:r>
        <w:rPr>
          <w:b/>
        </w:rPr>
        <w:t xml:space="preserve">Jurisdiction</w:t>
      </w:r>
    </w:p>
    <w:p>
      <w:pPr>
        <w:jc w:val="both"/>
        <w:spacing w:before="100" w:after="100"/>
        <w:ind w:start="360"/>
        <w:ind w:firstLine="360"/>
      </w:pPr>
      <w:r>
        <w:rPr/>
      </w:r>
      <w:r>
        <w:rPr/>
      </w:r>
      <w:r>
        <w:t xml:space="preserve">The Legislative Council shall have jurisdiction over:</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360"/>
        <w:ind w:firstLine="360"/>
      </w:pPr>
      <w:r>
        <w:rPr>
          <w:b/>
        </w:rPr>
        <w:t>1</w:t>
        <w:t xml:space="preserve">.  </w:t>
      </w:r>
      <w:r>
        <w:rPr>
          <w:b/>
        </w:rPr>
        <w:t xml:space="preserve">State House.</w:t>
        <w:t xml:space="preserve"> </w:t>
      </w:r>
      <w:r>
        <w:t xml:space="preserve"> </w:t>
      </w:r>
      <w:r>
        <w:t xml:space="preserve">The entire exterior and interior of the State 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w:t>
      </w:r>
    </w:p>
    <w:p>
      <w:pPr>
        <w:jc w:val="both"/>
        <w:spacing w:before="100" w:after="100"/>
        <w:ind w:start="360"/>
        <w:ind w:firstLine="360"/>
      </w:pPr>
      <w:r>
        <w:rPr>
          <w:b/>
        </w:rPr>
        <w:t>2</w:t>
        <w:t xml:space="preserve">.  </w:t>
      </w:r>
      <w:r>
        <w:rPr>
          <w:b/>
        </w:rPr>
        <w:t xml:space="preserve">Immediate grounds.</w:t>
        <w:t xml:space="preserve"> </w:t>
      </w:r>
      <w:r>
        <w:t xml:space="preserve"> </w:t>
      </w:r>
      <w:r>
        <w:t xml:space="preserve">The immediate grounds, including Capitol Park, the area bounded on the east by the Kennebec River, on the north by Capitol Street, on the south by Union Street and on the west by State Street, except that the private office of the Governor, at the Governor's discretion, is exempt from this chapter.</w:t>
      </w:r>
    </w:p>
    <w:p>
      <w:pPr>
        <w:jc w:val="both"/>
        <w:spacing w:before="100" w:after="0"/>
        <w:ind w:start="720"/>
      </w:pPr>
      <w:r>
        <w:rPr/>
        <w:t>A</w:t>
        <w:t xml:space="preserve">.  </w:t>
      </w:r>
      <w:r>
        <w:rPr/>
      </w:r>
      <w:r>
        <w:t xml:space="preserve">To ensure that the portion of Capitol Park that is controlled by the City of Augusta remains integrated with the portion of Capitol Park that is controlled by the State, the commission may, in consultation with the City of Augusta, plan for the preservation and development of a unified park area.</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720"/>
      </w:pPr>
      <w:r>
        <w:rPr/>
        <w:t>B</w:t>
        <w:t xml:space="preserve">.  </w:t>
      </w:r>
      <w:r>
        <w:rPr/>
      </w:r>
      <w:r>
        <w:t xml:space="preserve">Any action taken with respect to Capitol Park must be consistent with the plan for Capitol Park developed by the Olmsted Brothers firm in 1920 as revised by the Pressley firm in 1990.</w:t>
      </w:r>
      <w:r>
        <w:t xml:space="preserve">  </w:t>
      </w:r>
      <w:r xmlns:wp="http://schemas.openxmlformats.org/drawingml/2010/wordprocessingDrawing" xmlns:w15="http://schemas.microsoft.com/office/word/2012/wordml">
        <w:rPr>
          <w:rFonts w:ascii="Arial" w:hAnsi="Arial" w:cs="Arial"/>
          <w:sz w:val="22"/>
          <w:szCs w:val="22"/>
        </w:rPr>
        <w:t xml:space="preserve">[PL 2001, c. 468, §2 (NEW).]</w:t>
      </w:r>
    </w:p>
    <w:p>
      <w:pPr>
        <w:jc w:val="both"/>
        <w:spacing w:before="100" w:after="0"/>
        <w:ind w:start="360"/>
      </w:pPr>
      <w:r>
        <w:rPr/>
      </w:r>
      <w:r>
        <w:rPr/>
      </w:r>
      <w:r>
        <w:t xml:space="preserve">The Bureau of General Services may make no architectural, aesthetic or decorative addition, deletion or change to any external or internal part of the State House or its immediate grounds under the jurisdiction of the Legislative Council unless the council has approved the change in writing in conformance with the plan adopted by the council.  The Governor must be notified before the council votes on any change.  The commission may make recommendations to the council in regard to any proposed architectural, aesthetic or decorative addition, deletion or change to the internal or external part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 PL 2001, c. 468, §2 (AMD). PL 2011, c. 691, Pt. B, §3 (AMD). </w:t>
      </w:r>
    </w:p>
    <w:p>
      <w:pPr>
        <w:jc w:val="both"/>
        <w:spacing w:before="100" w:after="100"/>
        <w:ind w:start="1080" w:hanging="720"/>
      </w:pPr>
      <w:r>
        <w:rPr>
          <w:b/>
        </w:rPr>
        <w:t>§</w:t>
        <w:t>903</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jc w:val="both"/>
        <w:spacing w:before="100" w:after="100"/>
        <w:ind w:start="1080" w:hanging="720"/>
      </w:pPr>
      <w:r>
        <w:rPr>
          <w:b/>
        </w:rPr>
        <w:t>§</w:t>
        <w:t>906</w:t>
        <w:t xml:space="preserve">.  </w:t>
      </w:r>
      <w:r>
        <w:rPr>
          <w:b/>
        </w:rPr>
        <w:t xml:space="preserve">Interest in contracts prohibited</w:t>
      </w:r>
    </w:p>
    <w:p>
      <w:pPr>
        <w:jc w:val="both"/>
        <w:spacing w:before="100" w:after="100"/>
        <w:ind w:start="360"/>
        <w:ind w:firstLine="360"/>
      </w:pPr>
      <w:r>
        <w:rPr/>
      </w:r>
      <w:r>
        <w:rPr/>
      </w:r>
      <w:r>
        <w:t xml:space="preserve">No member of the commission may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31.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