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Notice of petitions for special legislation pertaining to fish and game</w:t>
      </w:r>
    </w:p>
    <w:p>
      <w:pPr>
        <w:jc w:val="both"/>
        <w:spacing w:before="100" w:after="100"/>
        <w:ind w:start="360"/>
        <w:ind w:firstLine="360"/>
      </w:pPr>
      <w:r>
        <w:rPr/>
      </w:r>
      <w:r>
        <w:rPr/>
      </w:r>
      <w:r>
        <w:t xml:space="preserve">Notice of petitions, bills or resolves for special legislation, regarding or in any manner pertaining to fish or game, shall be given with full description of the territory or waters affected by such legislation, in a newspaper of general circulation in the locality affected, at least once a week for 8 consecutive weeks, the last notice to be not less than one, nor more than 3 weeks before the assembling of the Legislature of which such legislation is requested, and such notice shall be absolutely required before any such legislation shall be enacted.  All laws hereafter enacted pertaining to fish or game which do not conform to the general laws of the State shall for the purposes of this section be deemed special.  This section shall not apply to any petition, Act or resolve, either repealing or amendatory, which has for its object the placing of the territory or waters in question under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667,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 Notice of petitions for special legislation pertaining to fish and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Notice of petitions for special legislation pertaining to fish and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§125. NOTICE OF PETITIONS FOR SPECIAL LEGISLATION PERTAINING TO FISH AND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