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Declaration of policy</w:t>
      </w:r>
    </w:p>
    <w:p>
      <w:pPr>
        <w:jc w:val="both"/>
        <w:spacing w:before="100" w:after="100"/>
        <w:ind w:start="360"/>
        <w:ind w:firstLine="360"/>
      </w:pPr>
      <w:r>
        <w:rPr/>
      </w:r>
      <w:r>
        <w:rPr/>
      </w:r>
      <w:r>
        <w:t xml:space="preserve">The Legislature declares that it is the policy of the State to provide a law and legislative reference library adequate to the informational needs of the Legislature, other branches of State Government and the citizens of Maine.</w:t>
      </w:r>
      <w:r>
        <w:t xml:space="preserve">  </w:t>
      </w:r>
      <w:r xmlns:wp="http://schemas.openxmlformats.org/drawingml/2010/wordprocessingDrawing" xmlns:w15="http://schemas.microsoft.com/office/word/2012/wordml">
        <w:rPr>
          <w:rFonts w:ascii="Arial" w:hAnsi="Arial" w:cs="Arial"/>
          <w:sz w:val="22"/>
          <w:szCs w:val="22"/>
        </w:rPr>
        <w:t xml:space="preserve">[PL 1971,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