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313-A</w:t>
        <w:t xml:space="preserve">.  </w:t>
      </w:r>
      <w:r>
        <w:rPr>
          <w:b/>
        </w:rPr>
        <w:t xml:space="preserve">Registration of state employees or state agency employees</w:t>
      </w:r>
    </w:p>
    <w:p>
      <w:pPr>
        <w:jc w:val="both"/>
        <w:spacing w:before="100" w:after="100"/>
        <w:ind w:start="360"/>
        <w:ind w:firstLine="360"/>
      </w:pPr>
      <w:r>
        <w:rPr/>
      </w:r>
      <w:r>
        <w:rPr/>
      </w:r>
      <w:r>
        <w:t xml:space="preserve">Within 15 business days of the convening of a regular legislative session, a department or agency shall register with the commission those state employees or state agency employees who will serve as the department's or agency's legislative designees for the session by submitting to the commission a list that must include the name and position of each employee, the name of the department or agency and the name of the bureau or division within the department for which each employee works and the mailing address, e-mail address and phone number of each employee.  The department or agency shall notify the commission in writing of any changes of its designees within 15 business days of the change.</w:t>
      </w:r>
      <w:r>
        <w:t xml:space="preserve">  </w:t>
      </w:r>
      <w:r xmlns:wp="http://schemas.openxmlformats.org/drawingml/2010/wordprocessingDrawing" xmlns:w15="http://schemas.microsoft.com/office/word/2012/wordml">
        <w:rPr>
          <w:rFonts w:ascii="Arial" w:hAnsi="Arial" w:cs="Arial"/>
          <w:sz w:val="22"/>
          <w:szCs w:val="22"/>
        </w:rPr>
        <w:t xml:space="preserve">[PL 2019, c. 587, §8 (AMD); PL 2019, c. 587, §18 (AFF).]</w:t>
      </w:r>
    </w:p>
    <w:p>
      <w:pPr>
        <w:jc w:val="both"/>
        <w:spacing w:before="100" w:after="0"/>
        <w:ind w:start="360"/>
        <w:ind w:firstLine="360"/>
      </w:pPr>
      <w:r>
        <w:rPr>
          <w:b/>
        </w:rPr>
        <w:t>1</w:t>
        <w:t xml:space="preserve">.  </w:t>
      </w:r>
      <w:r>
        <w:rPr>
          <w:b/>
        </w:rPr>
        <w:t xml:space="preserve">Legislative designee.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630, §9 (RP).]</w:t>
      </w:r>
    </w:p>
    <w:p>
      <w:pPr>
        <w:jc w:val="both"/>
        <w:spacing w:before="100" w:after="0"/>
        <w:ind w:start="360"/>
        <w:ind w:firstLine="360"/>
      </w:pPr>
      <w:r>
        <w:rPr>
          <w:b/>
        </w:rPr>
        <w:t>2</w:t>
        <w:t xml:space="preserve">.  </w:t>
      </w:r>
      <w:r>
        <w:rPr>
          <w:b/>
        </w:rPr>
        <w:t xml:space="preserve">Lobbying requirements.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630, §9 (RP).]</w:t>
      </w:r>
    </w:p>
    <w:p>
      <w:pPr>
        <w:jc w:val="both"/>
        <w:spacing w:before="100" w:after="100"/>
        <w:ind w:start="360"/>
        <w:ind w:firstLine="360"/>
      </w:pPr>
      <w:r>
        <w:rPr/>
      </w:r>
      <w:r>
        <w:rPr/>
      </w:r>
      <w:r>
        <w:t xml:space="preserve">An employee who is required to be registered under this section is exempt from all other requirements under the law regarding lobbyists.</w:t>
      </w:r>
      <w:r>
        <w:t xml:space="preserve">  </w:t>
      </w:r>
      <w:r xmlns:wp="http://schemas.openxmlformats.org/drawingml/2010/wordprocessingDrawing" xmlns:w15="http://schemas.microsoft.com/office/word/2012/wordml">
        <w:rPr>
          <w:rFonts w:ascii="Arial" w:hAnsi="Arial" w:cs="Arial"/>
          <w:sz w:val="22"/>
          <w:szCs w:val="22"/>
        </w:rPr>
        <w:t xml:space="preserve">[PL 2007, c. 630,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691, §11 (NEW). PL 2007, c. 630, §9 (AMD). PL 2019, c. 587, §8 (AMD). PL 2019, c. 587, §18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§313-A. Registration of state employees or state agency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§313-A. Registration of state employees or state agency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§313-A. REGISTRATION OF STATE EMPLOYEES OR STATE AGENCY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