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317-A</w:t>
        <w:t xml:space="preserve">.  </w:t>
      </w:r>
      <w:r>
        <w:rPr>
          <w:b/>
        </w:rPr>
        <w:t xml:space="preserve">Grassroots lobbying report</w:t>
      </w:r>
    </w:p>
    <w:p>
      <w:pPr>
        <w:jc w:val="both"/>
        <w:spacing w:before="100" w:after="100"/>
        <w:ind w:start="360"/>
        <w:ind w:firstLine="360"/>
      </w:pPr>
      <w:r>
        <w:rPr/>
      </w:r>
      <w:r>
        <w:rPr/>
      </w:r>
      <w:r>
        <w:t xml:space="preserve">Except for a lobbyist filing a monthly report under </w:t>
      </w:r>
      <w:r>
        <w:t>section 317, subsection 1, paragraph E‑1</w:t>
      </w:r>
      <w:r>
        <w:t xml:space="preserve">, a person who makes or incurs expenditures in excess of $2,000 during a calendar month for purposes of grassroots lobbying shall file with the commission a report no later than 11:59 p.m. on the 15th day of the calendar month following the date on which that amount was exceeded.  For purposes of this section, expenditures include payments of money made to independent contractors and other vendors to purchase goods and services such as advertising, graphic or website design, video or audio production services, telecommunications services, printing and postage.  Salaries paid to the person's employees are not expenditures for the purposes of this section and are exempt from disclosure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100"/>
        <w:ind w:start="360"/>
        <w:ind w:firstLine="360"/>
      </w:pPr>
      <w:r>
        <w:rPr>
          <w:b/>
        </w:rPr>
        <w:t>1</w:t>
        <w:t xml:space="preserve">.  </w:t>
      </w:r>
      <w:r>
        <w:rPr>
          <w:b/>
        </w:rPr>
        <w:t xml:space="preserve">Report.</w:t>
        <w:t xml:space="preserve"> </w:t>
      </w:r>
      <w:r>
        <w:t xml:space="preserve"> </w:t>
      </w:r>
      <w:r>
        <w:t xml:space="preserve">A grassroots lobbying report filed pursuant to this section must include:</w:t>
      </w:r>
    </w:p>
    <w:p>
      <w:pPr>
        <w:jc w:val="both"/>
        <w:spacing w:before="100" w:after="0"/>
        <w:ind w:start="720"/>
      </w:pPr>
      <w:r>
        <w:rPr/>
        <w:t>A</w:t>
        <w:t xml:space="preserve">.  </w:t>
      </w:r>
      <w:r>
        <w:rPr/>
      </w:r>
      <w:r>
        <w:t xml:space="preserve">The name of the person required to file the report;</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B</w:t>
        <w:t xml:space="preserve">.  </w:t>
      </w:r>
      <w:r>
        <w:rPr/>
      </w:r>
      <w:r>
        <w:t xml:space="preserve">The name of an individual serving as the contact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C</w:t>
        <w:t xml:space="preserve">.  </w:t>
      </w:r>
      <w:r>
        <w:rPr/>
      </w:r>
      <w:r>
        <w:t xml:space="preserve">The business address and other contact information for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D</w:t>
        <w:t xml:space="preserve">.  </w:t>
      </w:r>
      <w:r>
        <w:rPr/>
      </w:r>
      <w:r>
        <w:t xml:space="preserve">A description of the business activity or mission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E</w:t>
        <w:t xml:space="preserve">.  </w:t>
      </w:r>
      <w:r>
        <w:rPr/>
      </w:r>
      <w:r>
        <w:t xml:space="preserve">The specific amount of expenditures for grassroots lobbying made or incurred during the month that is the subject of the report, with separate totals for expenditure categories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F</w:t>
        <w:t xml:space="preserve">.  </w:t>
      </w:r>
      <w:r>
        <w:rPr/>
      </w:r>
      <w:r>
        <w:t xml:space="preserve">The legislative actions that are the subject of the grassroots lobbying; and</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w:pPr>
        <w:jc w:val="both"/>
        <w:spacing w:before="100" w:after="0"/>
        <w:ind w:start="720"/>
      </w:pPr>
      <w:r>
        <w:rPr/>
        <w:t>G</w:t>
        <w:t xml:space="preserve">.  </w:t>
      </w:r>
      <w:r>
        <w:rPr/>
      </w:r>
      <w:r>
        <w:t xml:space="preserve">A list of all of the person's original sources and a statement of the amount paid by each original source.  If an original source is a corporation formed under </w:t>
      </w:r>
      <w:r>
        <w:t>Title 13</w:t>
      </w:r>
      <w:r>
        <w:t xml:space="preserve"> or former Title 13‑A, a nonprofit corporation formed under </w:t>
      </w:r>
      <w:r>
        <w:t>Title 13‑B</w:t>
      </w:r>
      <w:r>
        <w:t xml:space="preserve"> or a limited partnership under </w:t>
      </w:r>
      <w:r>
        <w:t>Title 31</w:t>
      </w:r>
      <w:r>
        <w:t xml:space="preserve">, the corporation, nonprofit organization or limited partnership, not the individual members, must be listed as the original source.</w:t>
      </w:r>
      <w:r>
        <w:t xml:space="preserve">  </w:t>
      </w:r>
      <w:r xmlns:wp="http://schemas.openxmlformats.org/drawingml/2010/wordprocessingDrawing" xmlns:w15="http://schemas.microsoft.com/office/word/2012/wordml">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599, §4 (NEW). PL 2019, c. 599,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§317-A. Grassroots lobbying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§317-A. Grassroots lobbying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§317-A. GRASSROOTS LOBBYING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