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Purpose and powers</w:t>
      </w:r>
    </w:p>
    <w:p>
      <w:pPr>
        <w:jc w:val="both"/>
        <w:spacing w:before="100" w:after="100"/>
        <w:ind w:start="360"/>
        <w:ind w:firstLine="360"/>
      </w:pPr>
      <w:r>
        <w:rPr/>
      </w:r>
      <w:r>
        <w:rPr/>
      </w:r>
      <w:r>
        <w:t xml:space="preserve">The joint standing committee of the Legislature having jurisdiction over appropriations and financial affairs shall oversee the transfer of funds in accordance with </w:t>
      </w:r>
      <w:r>
        <w:t>Title 5, section 1585</w:t>
      </w:r>
      <w:r>
        <w:t xml:space="preserve">, the transfer of funds in accordance with any other provision of law, block grant changes in accordance with </w:t>
      </w:r>
      <w:r>
        <w:t>Title 5, section 1670</w:t>
      </w:r>
      <w:r>
        <w:t xml:space="preserve"> and any other related fiscal matters.  The committee shall also review all other financial orders that have been submitted to the Office of Fiscal and Program Review since the last meeting.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1997, c. 24, Pt. 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PL 1993, c. 421, §1 (AMD). PL 1997, c. 24, §DD1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 Purpose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Purpose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§522. PURPOSE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