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w:t>
        <w:t xml:space="preserve">.  </w:t>
      </w:r>
      <w:r>
        <w:rPr>
          <w:b/>
        </w:rPr>
        <w:t xml:space="preserve">Future or reorganized agencies and independent agencies</w:t>
      </w:r>
    </w:p>
    <w:p>
      <w:pPr>
        <w:jc w:val="both"/>
        <w:spacing w:before="100" w:after="100"/>
        <w:ind w:start="360"/>
        <w:ind w:firstLine="360"/>
      </w:pPr>
      <w:r>
        <w:rPr/>
      </w:r>
      <w:r>
        <w:rPr/>
      </w:r>
      <w:r>
        <w:t xml:space="preserve">The chief staff administrator of a newly created or substantially reorganized agency or independent agency shall contact the committee to ensure placement of that agency or independent agency in the scheduling guideline outlined in </w:t>
      </w:r>
      <w:r>
        <w:t>section 959</w:t>
      </w:r>
      <w:r>
        <w:t xml:space="preserve">.  The committee and the Legislative Council shall determine the placement of that agency or independent agency in the scheduling guideline.</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§960. Future or reorganized agencies and independent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 Future or reorganized agencies and independent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§960. FUTURE OR REORGANIZED AGENCIES AND INDEPENDENT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