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120</w:t>
      </w:r>
    </w:p>
    <w:p>
      <w:pPr>
        <w:jc w:val="center"/>
        <w:ind w:start="360"/>
        <w:spacing w:before="300" w:after="300"/>
      </w:pPr>
      <w:r>
        <w:rPr>
          <w:b/>
        </w:rPr>
        <w:t xml:space="preserve">QUASI-MUNICIPAL CORPORATIONS OR DISTRICTS</w:t>
      </w:r>
    </w:p>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120. QUASI-MUNICIPAL CORPORATIONS OR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120. QUASI-MUNICIPAL CORPORATIONS OR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120. QUASI-MUNICIPAL CORPORATIONS OR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