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225. MAINE MUNICIPAL BOND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