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Execution of process</w:t>
      </w:r>
    </w:p>
    <w:p>
      <w:pPr>
        <w:jc w:val="both"/>
        <w:spacing w:before="100" w:after="100"/>
        <w:ind w:start="360"/>
        <w:ind w:firstLine="360"/>
      </w:pPr>
      <w:r>
        <w:rPr/>
      </w:r>
      <w:r>
        <w:rPr/>
      </w:r>
      <w:r>
        <w:t xml:space="preserve">Sheriffs and their deputies shall execute all legal processes directed to them by the commissioners.  A civil deputy, as defined in </w:t>
      </w:r>
      <w:r>
        <w:t>section 351, subsection 5</w:t>
      </w:r>
      <w:r>
        <w:t xml:space="preserve">, shall serve civil process as directed by the sheriff.</w:t>
      </w:r>
      <w:r>
        <w:t xml:space="preserve">  </w:t>
      </w:r>
      <w:r xmlns:wp="http://schemas.openxmlformats.org/drawingml/2010/wordprocessingDrawing" xmlns:w15="http://schemas.microsoft.com/office/word/2012/wordml">
        <w:rPr>
          <w:rFonts w:ascii="Arial" w:hAnsi="Arial" w:cs="Arial"/>
          <w:sz w:val="22"/>
          <w:szCs w:val="22"/>
        </w:rPr>
        <w:t xml:space="preserve">[PL 2019, c. 147,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332, §3 (AMD). PL 2019, c. 147,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Execution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Execution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§104. EXECUTION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