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Definitions</w:t>
      </w:r>
    </w:p>
    <w:p>
      <w:pPr>
        <w:jc w:val="both"/>
        <w:spacing w:before="100" w:after="100"/>
        <w:ind w:start="360"/>
        <w:ind w:firstLine="360"/>
      </w:pPr>
      <w:r>
        <w:rPr/>
      </w:r>
      <w:r>
        <w:rPr/>
      </w:r>
      <w:r>
        <w:t xml:space="preserve">For the purposes of this chapter, "prisoner" or "inmate" means an adult sentenced and committed to, transferred to or detained in the custody of a jail, including an adult in a community confinement monitoring program pursuant to </w:t>
      </w:r>
      <w:r>
        <w:t>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