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Creation of position of appointed county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Creation of position of appointed county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 CREATION OF POSITION OF APPOINTED COUNTY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