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§1565. Menstrual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Menstrual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§1565. MENSTRUAL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