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§171. DEPOSIT OR INVESTMENT OF COUNTY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