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Receipt of costs in favor of State</w:t>
      </w:r>
    </w:p>
    <w:p>
      <w:pPr>
        <w:jc w:val="both"/>
        <w:spacing w:before="100" w:after="100"/>
        <w:ind w:start="360"/>
        <w:ind w:firstLine="360"/>
      </w:pPr>
      <w:r>
        <w:rPr/>
      </w:r>
      <w:r>
        <w:rPr/>
      </w:r>
      <w:r>
        <w:t xml:space="preserve">Costs in all civil actions in the name of the State, paid before execution issues, shall be paid to the clerk of the court where the action is pending. The clerk shall pay these costs, without deduction,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 Receipt of costs in favor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Receipt of costs in favor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§172. RECEIPT OF COSTS IN FAVOR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