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w:t>
        <w:t xml:space="preserve">.  </w:t>
      </w:r>
      <w:r>
        <w:rPr>
          <w:b/>
        </w:rPr>
        <w:t xml:space="preserve">Method of accounting; report to commissioners</w:t>
      </w:r>
    </w:p>
    <w:p>
      <w:pPr>
        <w:jc w:val="both"/>
        <w:spacing w:before="100" w:after="100"/>
        <w:ind w:start="360"/>
        <w:ind w:firstLine="360"/>
      </w:pPr>
      <w:r>
        <w:rPr/>
      </w:r>
      <w:r>
        <w:rPr/>
      </w:r>
      <w:r>
        <w:t xml:space="preserve">The county treasurer shall keep the books and accounts on forms and in the manner approved by the Office of the State Auditor.  The treasurer shall report all county receipts and payments to the commissioners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 Method of accounting; report to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 Method of accounting; report to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§181. METHOD OF ACCOUNTING; REPORT TO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