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§1909. Surplus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§1909. SURPLUS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