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Nonstatutory municipal functions</w:t>
      </w:r>
    </w:p>
    <w:p>
      <w:pPr>
        <w:jc w:val="both"/>
        <w:spacing w:before="100" w:after="100"/>
        <w:ind w:start="360"/>
        <w:ind w:firstLine="360"/>
      </w:pPr>
      <w:r>
        <w:rPr/>
      </w:r>
      <w:r>
        <w:rPr/>
      </w:r>
      <w:r>
        <w:t xml:space="preserve">In addition to those offices and departments required by general law, a municipality may provide under its home rule authority for the performance of any other municipal function.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Nonstatutory municipal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Nonstatutory municipal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§2003. NONSTATUTORY MUNICIPAL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