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purpose of this chapter is to implement the home rule powers granted to municipalities by the Constitution of Maine, </w:t>
      </w:r>
      <w:r>
        <w:t>Article VIII</w:t>
      </w:r>
      <w:r>
        <w:t xml:space="preserve">, Part Second.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