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§2177. County approval of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County approval of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§2177. COUNTY APPROVAL OF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