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2256</w:t>
        <w:t xml:space="preserve">.  </w:t>
      </w:r>
      <w:r>
        <w:rPr>
          <w:b/>
        </w:rPr>
        <w:t xml:space="preserve">Audit requirements</w:t>
      </w:r>
    </w:p>
    <w:p>
      <w:pPr>
        <w:jc w:val="both"/>
        <w:spacing w:before="100" w:after="100"/>
        <w:ind w:start="360"/>
        <w:ind w:firstLine="360"/>
      </w:pPr>
      <w:r>
        <w:rPr>
          <w:b/>
        </w:rPr>
        <w:t>1</w:t>
        <w:t xml:space="preserve">.  </w:t>
      </w:r>
      <w:r>
        <w:rPr>
          <w:b/>
        </w:rPr>
        <w:t xml:space="preserve">Filing of audited financial statements.</w:t>
        <w:t xml:space="preserve"> </w:t>
      </w:r>
      <w:r>
        <w:t xml:space="preserve"> </w:t>
      </w:r>
      <w:r>
        <w:t xml:space="preserve">Each public self-funded pool shall file with the members of the pool, by the last day of the 6th month following the end of the pool's fiscal year, audited financial statements certified by an independent certified public accountant.  The financial statement must include, but is not limited to:</w:t>
      </w:r>
    </w:p>
    <w:p>
      <w:pPr>
        <w:jc w:val="both"/>
        <w:spacing w:before="100" w:after="0"/>
        <w:ind w:start="720"/>
      </w:pPr>
      <w:r>
        <w:rPr/>
        <w:t>A</w:t>
        <w:t xml:space="preserve">.  </w:t>
      </w:r>
      <w:r>
        <w:rPr/>
      </w:r>
      <w:r>
        <w:t xml:space="preserve">Actuarially certified appropriate reserves for known claims and expenses associated with those claims;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Claims incurred but not reported and expenses associated with those claims;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Unearned premiums;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Reserve for bad debts.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pPr>
      <w:r>
        <w:rPr/>
      </w:r>
      <w:r>
        <w:rPr/>
      </w:r>
      <w:r>
        <w:t xml:space="preserve">The audited financial statement shall include information concerning the adequacy of the plan.  This report shall result from a charge by the directors to the pool's actuary and auditor and shall address excess insurance, charges for coverage to members, service agent's costs and costs of administration of the program.</w:t>
      </w:r>
    </w:p>
    <w:p>
      <w:pPr>
        <w:jc w:val="both"/>
        <w:spacing w:before="100" w:after="0"/>
        <w:ind w:start="360"/>
      </w:pPr>
      <w:r>
        <w:rPr/>
      </w:r>
      <w:r>
        <w:rPr/>
      </w:r>
      <w:r>
        <w:t xml:space="preserve">The actuarial opinion must be given by a member of the American Academy of Actuaries qualified as a casualty loss reserve specialist as defined by the National Association of Insurance Commissioners.  Two additional copies of the audited financial statements shall be filed with the Superintendent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2</w:t>
        <w:t xml:space="preserve">.  </w:t>
      </w:r>
      <w:r>
        <w:rPr>
          <w:b/>
        </w:rPr>
        <w:t xml:space="preserve">Failure to provide for audited financial statements.</w:t>
        <w:t xml:space="preserve"> </w:t>
      </w:r>
      <w:r>
        <w:t xml:space="preserve"> </w:t>
      </w:r>
      <w:r>
        <w:t xml:space="preserve">If a public self-funded pool fails to provide for the audited financial statements required by </w:t>
      </w:r>
      <w:r>
        <w:t>subsection 1</w:t>
      </w:r>
      <w:r>
        <w:t xml:space="preserve">, the Superintendent of Insurance shall perform or cause to be performed the audit.  The public self-funded pool shall reimburse the Superintendent of Insurance for the cost of the audit.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§2256. Audit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§2256. Audit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§2256. AUDIT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