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2316</w:t>
        <w:t xml:space="preserve">.  </w:t>
      </w:r>
      <w:r>
        <w:rPr>
          <w:b/>
        </w:rPr>
        <w:t xml:space="preserve">Finances; annual report</w:t>
      </w:r>
    </w:p>
    <w:p>
      <w:pPr>
        <w:jc w:val="both"/>
        <w:spacing w:before="100" w:after="0"/>
        <w:ind w:start="360"/>
        <w:ind w:firstLine="360"/>
      </w:pPr>
      <w:r>
        <w:rPr>
          <w:b/>
        </w:rPr>
        <w:t>1</w:t>
        <w:t xml:space="preserve">.  </w:t>
      </w:r>
      <w:r>
        <w:rPr>
          <w:b/>
        </w:rPr>
        <w:t xml:space="preserve">Expenses.</w:t>
        <w:t xml:space="preserve"> </w:t>
      </w:r>
      <w:r>
        <w:t xml:space="preserve"> </w:t>
      </w:r>
      <w:r>
        <w:t xml:space="preserve">The legislative bodies of the member governments may appropriate funds under their home rule authority to meet the expenses of the council.  Services of personnel, use of equipment and office space and other necessary services may be accepted from members as part of their financial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Funds.</w:t>
        <w:t xml:space="preserve"> </w:t>
      </w:r>
      <w:r>
        <w:t xml:space="preserve"> </w:t>
      </w:r>
      <w:r>
        <w:t xml:space="preserve">The council may accept funds, grants, gifts and services from:</w:t>
      </w:r>
    </w:p>
    <w:p>
      <w:pPr>
        <w:jc w:val="both"/>
        <w:spacing w:before="100" w:after="0"/>
        <w:ind w:start="720"/>
      </w:pPr>
      <w:r>
        <w:rPr/>
        <w:t>A</w:t>
        <w:t xml:space="preserve">.  </w:t>
      </w:r>
      <w:r>
        <w:rPr/>
      </w:r>
      <w:r>
        <w:t xml:space="preserve">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State or its departments, agencies or instrumentalities;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Any other governmental unit, whether participating in the council or not;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Private and civic sources.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Report.</w:t>
        <w:t xml:space="preserve"> </w:t>
      </w:r>
      <w:r>
        <w:t xml:space="preserve"> </w:t>
      </w:r>
      <w:r>
        <w:t xml:space="preserve">The council shall make an annual report of its activities to the member governments.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Borrowing.</w:t>
        <w:t xml:space="preserve"> </w:t>
      </w:r>
      <w:r>
        <w:t xml:space="preserve"> </w:t>
      </w:r>
      <w:r>
        <w:t xml:space="preserve">To accomplish the purposes of this subchapter and for paying any indebtedness and any necessary expenses and liabilities incurred for those purposes, the council may borrow money and issue therefor its negotiable notes having any terms and provisions that the governing body of the council determines.  The council may contract with one or more member municipalities for the receipt of funds to accomplish any of the purposes authorized by this article and may incur indebtedness in anticipation of the receipt of these funds by issuing its negotiable notes payable in not more than one year.  The notes may be renewed from time to time by the issue of other notes, provided that no notes may be issued or renewed in an amount which at the time of issuance or renewal exceeds the amount of funds remaining to be paid under contracts with one or more member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Guarantees.</w:t>
        <w:t xml:space="preserve"> </w:t>
      </w:r>
      <w:r>
        <w:t xml:space="preserve"> </w:t>
      </w:r>
      <w:r>
        <w:t xml:space="preserve">Notwithstanding any law, charter, ordinance or limitation to the contrary, any one or more member municipalities of a regional council may guarantee notes or other indebtedness or obligations of the regional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215,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512 (AMD). PL 2007, c. 215,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§2316. Finances;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§2316. Finances;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§2316. FINANCES;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